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2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8689" w:dyaOrig="19514">
          <v:rect xmlns:o="urn:schemas-microsoft-com:office:office" xmlns:v="urn:schemas-microsoft-com:vml" id="rectole0000000000" style="width:934.450000pt;height:975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7049" w:dyaOrig="1934">
          <v:rect xmlns:o="urn:schemas-microsoft-com:office:office" xmlns:v="urn:schemas-microsoft-com:vml" id="rectole0000000001" style="width:352.450000pt;height:96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52"/>
        <w:ind w:right="864" w:left="864" w:firstLine="0"/>
        <w:jc w:val="center"/>
        <w:rPr>
          <w:rFonts w:ascii="Arial" w:hAnsi="Arial" w:cs="Arial" w:eastAsia="Arial"/>
          <w:b/>
          <w:i/>
          <w:color w:val="1F3864"/>
          <w:spacing w:val="0"/>
          <w:position w:val="0"/>
          <w:sz w:val="28"/>
          <w:shd w:fill="auto" w:val="clear"/>
        </w:rPr>
      </w:pPr>
      <w:r>
        <w:object w:dxaOrig="7425" w:dyaOrig="6029">
          <v:rect xmlns:o="urn:schemas-microsoft-com:office:office" xmlns:v="urn:schemas-microsoft-com:vml" id="rectole0000000002" style="width:371.250000pt;height:301.4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Arial" w:hAnsi="Arial" w:cs="Arial" w:eastAsia="Arial"/>
          <w:b/>
          <w:i/>
          <w:color w:val="1F3864"/>
          <w:spacing w:val="0"/>
          <w:position w:val="0"/>
          <w:sz w:val="28"/>
          <w:shd w:fill="auto" w:val="clear"/>
        </w:rPr>
        <w:t xml:space="preserve">DE LEVANTAMIENTO CATASTRAL DE INMUEBLES DEL</w:t>
      </w:r>
    </w:p>
    <w:p>
      <w:pPr>
        <w:spacing w:before="0" w:after="0" w:line="252"/>
        <w:ind w:right="864" w:left="864" w:firstLine="0"/>
        <w:jc w:val="center"/>
        <w:rPr>
          <w:rFonts w:ascii="Arial" w:hAnsi="Arial" w:cs="Arial" w:eastAsia="Arial"/>
          <w:b/>
          <w:i/>
          <w:color w:val="1F3864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i/>
          <w:color w:val="1F3864"/>
          <w:spacing w:val="0"/>
          <w:position w:val="0"/>
          <w:sz w:val="28"/>
          <w:shd w:fill="auto" w:val="clear"/>
        </w:rPr>
        <w:t xml:space="preserve">ESTADO DOMINICANO</w:t>
      </w:r>
    </w:p>
    <w:p>
      <w:pPr>
        <w:spacing w:before="0" w:after="0" w:line="252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52"/>
        <w:ind w:right="0" w:left="0" w:firstLine="0"/>
        <w:jc w:val="center"/>
        <w:rPr>
          <w:rFonts w:ascii="Arial" w:hAnsi="Arial" w:cs="Arial" w:eastAsia="Arial"/>
          <w:b/>
          <w:i/>
          <w:color w:val="1F3864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i/>
          <w:color w:val="1F3864"/>
          <w:spacing w:val="0"/>
          <w:position w:val="0"/>
          <w:sz w:val="24"/>
          <w:shd w:fill="auto" w:val="clear"/>
        </w:rPr>
        <w:t xml:space="preserve">Informe de Seguimiento</w:t>
      </w:r>
    </w:p>
    <w:p>
      <w:pPr>
        <w:spacing w:before="0" w:after="0" w:line="252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52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Abril, 2022</w:t>
      </w:r>
    </w:p>
    <w:p>
      <w:pPr>
        <w:spacing w:before="0" w:after="0" w:line="252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52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Elaborado por:</w:t>
      </w:r>
    </w:p>
    <w:p>
      <w:pPr>
        <w:spacing w:before="0" w:after="0" w:line="252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Departamento de Planificación y Desarrollo</w:t>
      </w:r>
    </w:p>
    <w:p>
      <w:pPr>
        <w:spacing w:before="0" w:after="16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shd w:fill="auto" w:val="clear"/>
        </w:rPr>
        <w:t xml:space="preserve">Santo Domingo, R. D.</w:t>
      </w:r>
    </w:p>
    <w:p>
      <w:pPr>
        <w:spacing w:before="0" w:after="160" w:line="252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2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845" w:dyaOrig="1530">
          <v:rect xmlns:o="urn:schemas-microsoft-com:office:office" xmlns:v="urn:schemas-microsoft-com:vml" id="rectole0000000003" style="width:392.250000pt;height:76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2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 Light" w:hAnsi="Calibri Light" w:cs="Calibri Light" w:eastAsia="Calibri Light"/>
          <w:color w:val="002060"/>
          <w:spacing w:val="0"/>
          <w:position w:val="0"/>
          <w:sz w:val="36"/>
          <w:shd w:fill="auto" w:val="clear"/>
        </w:rPr>
      </w:pPr>
      <w:r>
        <w:rPr>
          <w:rFonts w:ascii="Calibri Light" w:hAnsi="Calibri Light" w:cs="Calibri Light" w:eastAsia="Calibri Light"/>
          <w:color w:val="002060"/>
          <w:spacing w:val="0"/>
          <w:position w:val="0"/>
          <w:sz w:val="36"/>
          <w:shd w:fill="auto" w:val="clear"/>
        </w:rPr>
        <w:t xml:space="preserve">Informes de seguimiento del Proyecto de Levantamiento Catastral de Inmuebles Estado Dominicano</w:t>
      </w:r>
    </w:p>
    <w:p>
      <w:pPr>
        <w:spacing w:before="0" w:after="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El objetivo principal de este proyecto es la creación de la base de datos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  <w:t xml:space="preserve">catastral de los inmuebles propiedad del Estado Dominicano, lo que sirve a diversas instituciones para transparentar y actualizar su patrimonio.</w:t>
      </w:r>
    </w:p>
    <w:p>
      <w:pPr>
        <w:spacing w:before="0" w:after="160" w:line="360"/>
        <w:ind w:right="0" w:left="0" w:firstLine="0"/>
        <w:jc w:val="left"/>
        <w:rPr>
          <w:rFonts w:ascii="Arial" w:hAnsi="Arial" w:cs="Arial" w:eastAsia="Arial"/>
          <w:b/>
          <w:color w:val="231F2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231F20"/>
          <w:spacing w:val="0"/>
          <w:position w:val="0"/>
          <w:sz w:val="24"/>
          <w:shd w:fill="auto" w:val="clear"/>
        </w:rPr>
        <w:t xml:space="preserve">A continuación, presentamos el avance en la ejecución de las actividades del trimestre enero-marzo 2022.</w: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561"/>
        <w:gridCol w:w="1985"/>
        <w:gridCol w:w="1695"/>
        <w:gridCol w:w="1408"/>
        <w:gridCol w:w="1306"/>
        <w:gridCol w:w="1083"/>
        <w:gridCol w:w="1895"/>
        <w:gridCol w:w="3096"/>
      </w:tblGrid>
      <w:tr>
        <w:trPr>
          <w:trHeight w:val="1260" w:hRule="auto"/>
          <w:jc w:val="left"/>
        </w:trPr>
        <w:tc>
          <w:tcPr>
            <w:tcW w:w="1561" w:type="dxa"/>
            <w:tcBorders>
              <w:top w:val="single" w:color="4472c4" w:sz="5"/>
              <w:left w:val="single" w:color="4472c4" w:sz="5"/>
              <w:bottom w:val="single" w:color="4472c4" w:sz="5"/>
              <w:right w:val="single" w:color="000000" w:sz="0"/>
            </w:tcBorders>
            <w:shd w:color="000000" w:fill="4472c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5. Nombre de producto</w:t>
            </w:r>
          </w:p>
        </w:tc>
        <w:tc>
          <w:tcPr>
            <w:tcW w:w="1985" w:type="dxa"/>
            <w:tcBorders>
              <w:top w:val="single" w:color="4472c4" w:sz="5"/>
              <w:left w:val="single" w:color="000000" w:sz="0"/>
              <w:bottom w:val="single" w:color="4472c4" w:sz="5"/>
              <w:right w:val="single" w:color="000000" w:sz="0"/>
            </w:tcBorders>
            <w:shd w:color="000000" w:fill="4472c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6. Actividades programadas</w:t>
            </w:r>
          </w:p>
        </w:tc>
        <w:tc>
          <w:tcPr>
            <w:tcW w:w="1695" w:type="dxa"/>
            <w:tcBorders>
              <w:top w:val="single" w:color="4472c4" w:sz="5"/>
              <w:left w:val="single" w:color="000000" w:sz="0"/>
              <w:bottom w:val="single" w:color="4472c4" w:sz="5"/>
              <w:right w:val="single" w:color="000000" w:sz="0"/>
            </w:tcBorders>
            <w:shd w:color="000000" w:fill="4472c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7. Tareas programadas</w:t>
            </w:r>
          </w:p>
        </w:tc>
        <w:tc>
          <w:tcPr>
            <w:tcW w:w="1408" w:type="dxa"/>
            <w:tcBorders>
              <w:top w:val="single" w:color="4472c4" w:sz="5"/>
              <w:left w:val="single" w:color="000000" w:sz="0"/>
              <w:bottom w:val="single" w:color="4472c4" w:sz="5"/>
              <w:right w:val="single" w:color="000000" w:sz="0"/>
            </w:tcBorders>
            <w:shd w:color="000000" w:fill="4472c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8. % de avance de tareas</w:t>
            </w:r>
          </w:p>
        </w:tc>
        <w:tc>
          <w:tcPr>
            <w:tcW w:w="1306" w:type="dxa"/>
            <w:tcBorders>
              <w:top w:val="single" w:color="4472c4" w:sz="5"/>
              <w:left w:val="single" w:color="000000" w:sz="0"/>
              <w:bottom w:val="single" w:color="4472c4" w:sz="5"/>
              <w:right w:val="single" w:color="000000" w:sz="0"/>
            </w:tcBorders>
            <w:shd w:color="000000" w:fill="4472c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9. % de avance del actividades</w:t>
            </w:r>
          </w:p>
        </w:tc>
        <w:tc>
          <w:tcPr>
            <w:tcW w:w="1083" w:type="dxa"/>
            <w:tcBorders>
              <w:top w:val="single" w:color="4472c4" w:sz="5"/>
              <w:left w:val="single" w:color="000000" w:sz="0"/>
              <w:bottom w:val="single" w:color="4472c4" w:sz="5"/>
              <w:right w:val="single" w:color="000000" w:sz="0"/>
            </w:tcBorders>
            <w:shd w:color="000000" w:fill="4472c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10. % de avance del producto </w:t>
            </w:r>
          </w:p>
        </w:tc>
        <w:tc>
          <w:tcPr>
            <w:tcW w:w="1895" w:type="dxa"/>
            <w:tcBorders>
              <w:top w:val="single" w:color="4472c4" w:sz="5"/>
              <w:left w:val="single" w:color="000000" w:sz="0"/>
              <w:bottom w:val="single" w:color="4472c4" w:sz="5"/>
              <w:right w:val="single" w:color="000000" w:sz="0"/>
            </w:tcBorders>
            <w:shd w:color="000000" w:fill="4472c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11. Observaciones</w:t>
            </w:r>
          </w:p>
        </w:tc>
        <w:tc>
          <w:tcPr>
            <w:tcW w:w="3096" w:type="dxa"/>
            <w:tcBorders>
              <w:top w:val="single" w:color="4472c4" w:sz="5"/>
              <w:left w:val="single" w:color="000000" w:sz="0"/>
              <w:bottom w:val="single" w:color="4472c4" w:sz="5"/>
              <w:right w:val="single" w:color="4472c4" w:sz="5"/>
            </w:tcBorders>
            <w:shd w:color="000000" w:fill="4472c4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12. Evidencia </w:t>
            </w:r>
          </w:p>
        </w:tc>
      </w:tr>
      <w:tr>
        <w:trPr>
          <w:trHeight w:val="600" w:hRule="auto"/>
          <w:jc w:val="left"/>
        </w:trPr>
        <w:tc>
          <w:tcPr>
            <w:tcW w:w="1561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Inventario de bienes inmuebles en sus aspectos físicos, jurídicos y económicos del Estado. Para el año 2022 la meta es realizar el levantamiento y valoración de 3,318 inmuebles.</w:t>
            </w:r>
          </w:p>
        </w:tc>
        <w:tc>
          <w:tcPr>
            <w:tcW w:w="198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Enlace Catastral (Vinculación con Planos de Mensuras Catastrales)</w:t>
            </w: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Definir zona a enlazar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100%</w:t>
            </w:r>
          </w:p>
        </w:tc>
        <w:tc>
          <w:tcPr>
            <w:tcW w:w="130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29%</w:t>
            </w:r>
          </w:p>
        </w:tc>
        <w:tc>
          <w:tcPr>
            <w:tcW w:w="1083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16.22%</w:t>
            </w:r>
          </w:p>
        </w:tc>
        <w:tc>
          <w:tcPr>
            <w:tcW w:w="189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Se realizó el enlace catastral de un total de 510 inmuebles correspondientes a las Provincias: Espaillat, Puerto Plata, Santiago, Hermanas Mirabal</w:t>
            </w:r>
          </w:p>
        </w:tc>
        <w:tc>
          <w:tcPr>
            <w:tcW w:w="309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Se ha generado cartografía base de los predios investigados, vinculando la información de la Mensuras Catastrales.</w:t>
            </w:r>
          </w:p>
        </w:tc>
      </w:tr>
      <w:tr>
        <w:trPr>
          <w:trHeight w:val="60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Identificar designaciones catastrales de cada predio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60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Dibujar polígonos con las características definidas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60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Crear Capa de Enlace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60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Identificación de predios en manzanas físicas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60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Validación y Corrección de errores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9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Investigación Jurídica</w:t>
            </w: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Consultar información de cada predio en la Base de Datos de la JI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20%</w:t>
            </w:r>
          </w:p>
        </w:tc>
        <w:tc>
          <w:tcPr>
            <w:tcW w:w="130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20%</w:t>
            </w: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Se realizo la investigación jurídica de las Provincias: Distrito Nacional, Provincia Santo Domingo, Monseñor Nouel, Duarte, Sanchez Ramirez, Samaná, Maria Trinidad Sanchez, Hermanas Mirabal, Puerto Plata y Santiago de los Caballeros</w:t>
            </w:r>
          </w:p>
        </w:tc>
        <w:tc>
          <w:tcPr>
            <w:tcW w:w="309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Matriz de investigación del estatus jurídico de los Inmuebles a levantar.</w:t>
            </w:r>
          </w:p>
        </w:tc>
      </w:tr>
      <w:tr>
        <w:trPr>
          <w:trHeight w:val="75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Realizar el llenado de las fichas de levantamiento.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20%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Realizar la vinculación con Enlace Catastral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20%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Levantamiento de Campo</w:t>
            </w: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Identificación del predio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13%</w:t>
            </w:r>
          </w:p>
        </w:tc>
        <w:tc>
          <w:tcPr>
            <w:tcW w:w="130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13%</w:t>
            </w: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Se realizo el levantamiento de campo de 439 inmuebles correspondientes a las provincias: Santiago Rodríguez y Valverde</w:t>
            </w:r>
          </w:p>
        </w:tc>
        <w:tc>
          <w:tcPr>
            <w:tcW w:w="309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Matriz de levantamiento descriptivos de cada inmueble.</w:t>
            </w:r>
          </w:p>
        </w:tc>
      </w:tr>
      <w:tr>
        <w:trPr>
          <w:trHeight w:val="75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Levantamiento topográfico del predio y las construcciones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13%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9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Levantamiento de las características descriptivas del inmuebles con la ficha técnica catastral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13%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2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Verificación y Corrección de distorsiones del plano de la cartográfica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13%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Toma de fotografías al inmueble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13%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3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Verificación y validación de las informaciones levantadas con la ficha técnica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13%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7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Incorporación a la Base de Datos Catastral</w:t>
            </w: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Actualización de la base de datos cartográfica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Se incorporaron a las Base de datos Catastral un total de 492 inmuebles correspondientes a las provincias: Samaná, Maria Trinidad Sanchez, Puerto Plata y Santiago.</w:t>
            </w:r>
          </w:p>
        </w:tc>
        <w:tc>
          <w:tcPr>
            <w:tcW w:w="309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Informes generados por el sistema de información catastral SIC</w:t>
            </w:r>
          </w:p>
        </w:tc>
      </w:tr>
      <w:tr>
        <w:trPr>
          <w:trHeight w:val="100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incorporación de la información de la ficha técnicas a la base de datos del sistema de información catastral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5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Validación de las informaciones incorporadas en la base de datos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2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Vinculación de datos alfanuméricos y  y geográficos (proceso GIS)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Proceso Técnico de Valoración</w:t>
            </w: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Analizar información levantada en campo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Se realizo la valoración 492 inmuebles correspondientes a las provincias: Samaná, Maria Trinidad Sanchez, Puerto Plata y Santiago. Al 31 de marzo se han valorado inmuebles por un monto de RD$ 75,847,083,268.70</w:t>
            </w:r>
          </w:p>
        </w:tc>
        <w:tc>
          <w:tcPr>
            <w:tcW w:w="309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Informes técnicos de valoración</w:t>
            </w: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Calcular valor del Terreno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Calcular Valor de Edificación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Aplicar Factores de ajuste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Vincular fotografías al expediente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Elaborar informe de avalúo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2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Control de Calidad</w:t>
            </w: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validación Datos jurídicos con base de Datos de JI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20%</w:t>
            </w:r>
          </w:p>
        </w:tc>
        <w:tc>
          <w:tcPr>
            <w:tcW w:w="130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16%</w:t>
            </w: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 </w:t>
            </w:r>
          </w:p>
        </w:tc>
        <w:tc>
          <w:tcPr>
            <w:tcW w:w="309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Matriz de Validación</w:t>
            </w:r>
          </w:p>
        </w:tc>
      </w:tr>
      <w:tr>
        <w:trPr>
          <w:trHeight w:val="780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validación datos físicos con el resultado del Levantamiento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13%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73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validación de valores acorde a normativas existentes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15%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Generación de Informes y Publicación de la Información</w:t>
            </w: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Elaborar informe técnico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5%</w:t>
            </w:r>
          </w:p>
        </w:tc>
        <w:tc>
          <w:tcPr>
            <w:tcW w:w="130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5%</w:t>
            </w: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Se coordino la entrega de reportes a Bienes Nacionales</w:t>
            </w:r>
          </w:p>
        </w:tc>
        <w:tc>
          <w:tcPr>
            <w:tcW w:w="3096" w:type="dxa"/>
            <w:vMerge w:val="restart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Reporte de Inmuebles inventariados SIC, Visor Geográfico</w:t>
            </w: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Definir protocolo de acceso de información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585" w:hRule="auto"/>
          <w:jc w:val="left"/>
        </w:trPr>
        <w:tc>
          <w:tcPr>
            <w:tcW w:w="1561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98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95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Exposición pública</w:t>
            </w:r>
          </w:p>
        </w:tc>
        <w:tc>
          <w:tcPr>
            <w:tcW w:w="1408" w:type="dxa"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36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231F20"/>
                <w:spacing w:val="0"/>
                <w:position w:val="0"/>
                <w:sz w:val="20"/>
                <w:shd w:fill="auto" w:val="clear"/>
              </w:rPr>
              <w:t xml:space="preserve">5%</w:t>
            </w:r>
          </w:p>
        </w:tc>
        <w:tc>
          <w:tcPr>
            <w:tcW w:w="130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083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895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096" w:type="dxa"/>
            <w:vMerge/>
            <w:tcBorders>
              <w:top w:val="single" w:color="8eaadb" w:sz="5"/>
              <w:left w:val="single" w:color="8eaadb" w:sz="5"/>
              <w:bottom w:val="single" w:color="8eaadb" w:sz="5"/>
              <w:right w:val="single" w:color="8eaadb" w:sz="5"/>
            </w:tcBorders>
            <w:shd w:color="000000" w:fill="d9e2f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160" w:line="36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245" w:dyaOrig="3674">
          <v:rect xmlns:o="urn:schemas-microsoft-com:office:office" xmlns:v="urn:schemas-microsoft-com:vml" id="rectole0000000004" style="width:212.250000pt;height:183.7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Gill Sans MT" w:hAnsi="Gill Sans MT" w:cs="Gill Sans MT" w:eastAsia="Gill Sans MT"/>
          <w:color w:val="auto"/>
          <w:spacing w:val="0"/>
          <w:position w:val="0"/>
          <w:sz w:val="24"/>
          <w:shd w:fill="auto" w:val="clear"/>
        </w:rPr>
      </w:pPr>
      <w:r>
        <w:rPr>
          <w:rFonts w:ascii="Gill Sans MT" w:hAnsi="Gill Sans MT" w:cs="Gill Sans MT" w:eastAsia="Gill Sans MT"/>
          <w:color w:val="auto"/>
          <w:spacing w:val="0"/>
          <w:position w:val="0"/>
          <w:sz w:val="24"/>
          <w:shd w:fill="auto" w:val="clear"/>
        </w:rPr>
        <w:t xml:space="preserve">Dirección General de Catastro Nacional | DGCN</w:t>
      </w:r>
    </w:p>
    <w:p>
      <w:pPr>
        <w:spacing w:before="0" w:after="200" w:line="276"/>
        <w:ind w:right="0" w:left="0" w:firstLine="0"/>
        <w:jc w:val="center"/>
        <w:rPr>
          <w:rFonts w:ascii="Gill Sans MT" w:hAnsi="Gill Sans MT" w:cs="Gill Sans MT" w:eastAsia="Gill Sans MT"/>
          <w:color w:val="auto"/>
          <w:spacing w:val="0"/>
          <w:position w:val="0"/>
          <w:sz w:val="24"/>
          <w:shd w:fill="auto" w:val="clear"/>
        </w:rPr>
      </w:pPr>
      <w:r>
        <w:rPr>
          <w:rFonts w:ascii="Gill Sans MT" w:hAnsi="Gill Sans MT" w:cs="Gill Sans MT" w:eastAsia="Gill Sans MT"/>
          <w:color w:val="auto"/>
          <w:spacing w:val="0"/>
          <w:position w:val="0"/>
          <w:sz w:val="24"/>
          <w:shd w:fill="auto" w:val="clear"/>
        </w:rPr>
        <w:t xml:space="preserve">Av. Jiménez Moya Esq. Av. Independencia, Centro de los Héroes, Santo Domingo, República Dominicana</w:t>
      </w:r>
    </w:p>
    <w:p>
      <w:pPr>
        <w:spacing w:before="0" w:after="200" w:line="276"/>
        <w:ind w:right="0" w:left="0" w:firstLine="0"/>
        <w:jc w:val="center"/>
        <w:rPr>
          <w:rFonts w:ascii="Gill Sans MT" w:hAnsi="Gill Sans MT" w:cs="Gill Sans MT" w:eastAsia="Gill Sans MT"/>
          <w:color w:val="auto"/>
          <w:spacing w:val="0"/>
          <w:position w:val="0"/>
          <w:sz w:val="24"/>
          <w:shd w:fill="auto" w:val="clear"/>
        </w:rPr>
      </w:pPr>
      <w:r>
        <w:rPr>
          <w:rFonts w:ascii="Gill Sans MT" w:hAnsi="Gill Sans MT" w:cs="Gill Sans MT" w:eastAsia="Gill Sans MT"/>
          <w:color w:val="auto"/>
          <w:spacing w:val="0"/>
          <w:position w:val="0"/>
          <w:sz w:val="24"/>
          <w:shd w:fill="auto" w:val="clear"/>
        </w:rPr>
        <w:t xml:space="preserve">Tel.: (809) 535-7115 | Fax - (809) 508-0637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10">
        <w:r>
          <w:rPr>
            <w:rFonts w:ascii="Gill Sans MT" w:hAnsi="Gill Sans MT" w:cs="Gill Sans MT" w:eastAsia="Gill Sans MT"/>
            <w:color w:val="002060"/>
            <w:spacing w:val="0"/>
            <w:position w:val="0"/>
            <w:sz w:val="24"/>
            <w:u w:val="single"/>
            <w:shd w:fill="auto" w:val="clear"/>
          </w:rPr>
          <w:t xml:space="preserve">www.catastro.gob.do</w:t>
        </w:r>
      </w:hyperlink>
      <w:r>
        <w:rPr>
          <w:rFonts w:ascii="Gill Sans MT" w:hAnsi="Gill Sans MT" w:cs="Gill Sans MT" w:eastAsia="Gill Sans MT"/>
          <w:color w:val="auto"/>
          <w:spacing w:val="0"/>
          <w:position w:val="0"/>
          <w:sz w:val="24"/>
          <w:shd w:fill="auto" w:val="clear"/>
        </w:rPr>
        <w:br/>
      </w:r>
      <w:hyperlink xmlns:r="http://schemas.openxmlformats.org/officeDocument/2006/relationships" r:id="docRId11">
        <w:r>
          <w:rPr>
            <w:rFonts w:ascii="Gill Sans MT" w:hAnsi="Gill Sans MT" w:cs="Gill Sans MT" w:eastAsia="Gill Sans MT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contacto@catastro.gob.do</w:t>
        </w:r>
      </w:hyperlink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6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Mode="External" Target="http://www.catastro.gob.do/" Id="docRId10" Type="http://schemas.openxmlformats.org/officeDocument/2006/relationships/hyperlink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Mode="External" Target="mailto:contacto@catastro.gob.do" Id="docRId11" Type="http://schemas.openxmlformats.org/officeDocument/2006/relationships/hyperlink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